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641FAF">
        <w:rPr>
          <w:rFonts w:ascii="Georgia" w:eastAsia="Times New Roman" w:hAnsi="Georgia" w:cs="Times New Roman"/>
          <w:b/>
          <w:bCs/>
          <w:kern w:val="36"/>
          <w:sz w:val="27"/>
          <w:szCs w:val="27"/>
          <w:lang w:eastAsia="uk-UA"/>
        </w:rPr>
        <w:t>КОНЦЕПЦІЯ реформування місцевого самоврядування та територіальної організації влади в Україні Проблеми, які потребують розв’язання</w:t>
      </w:r>
    </w:p>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p>
    <w:p w:rsidR="00641FAF" w:rsidRPr="00641FAF" w:rsidRDefault="00641FAF" w:rsidP="00641FAF">
      <w:pPr>
        <w:spacing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Дотаційність</w:t>
      </w:r>
      <w:proofErr w:type="spellEnd"/>
      <w:r w:rsidRPr="00641FAF">
        <w:rPr>
          <w:rFonts w:ascii="Verdana" w:eastAsia="Times New Roman" w:hAnsi="Verdana" w:cs="Times New Roman"/>
          <w:sz w:val="18"/>
          <w:szCs w:val="18"/>
          <w:lang w:eastAsia="uk-UA"/>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Здійснення постійної фінансової підтримки через районні бюджети </w:t>
      </w:r>
      <w:proofErr w:type="spellStart"/>
      <w:r w:rsidRPr="00641FAF">
        <w:rPr>
          <w:rFonts w:ascii="Verdana" w:eastAsia="Times New Roman" w:hAnsi="Verdana" w:cs="Times New Roman"/>
          <w:sz w:val="18"/>
          <w:szCs w:val="18"/>
          <w:lang w:eastAsia="uk-UA"/>
        </w:rPr>
        <w:t>малочисельних</w:t>
      </w:r>
      <w:proofErr w:type="spellEnd"/>
      <w:r w:rsidRPr="00641FAF">
        <w:rPr>
          <w:rFonts w:ascii="Verdana" w:eastAsia="Times New Roman" w:hAnsi="Verdana" w:cs="Times New Roman"/>
          <w:sz w:val="18"/>
          <w:szCs w:val="18"/>
          <w:lang w:eastAsia="uk-UA"/>
        </w:rPr>
        <w:t xml:space="preserve">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даний час ефективного та швидкого розв’язання потребують такі проблеми: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складна демографічна ситуація у більшості територіальних громад (старіння населення, </w:t>
      </w:r>
      <w:proofErr w:type="spellStart"/>
      <w:r w:rsidRPr="00641FAF">
        <w:rPr>
          <w:rFonts w:ascii="Verdana" w:eastAsia="Times New Roman" w:hAnsi="Verdana" w:cs="Times New Roman"/>
          <w:sz w:val="18"/>
          <w:szCs w:val="18"/>
          <w:lang w:eastAsia="uk-UA"/>
        </w:rPr>
        <w:t>знелюднення</w:t>
      </w:r>
      <w:proofErr w:type="spellEnd"/>
      <w:r w:rsidRPr="00641FAF">
        <w:rPr>
          <w:rFonts w:ascii="Verdana" w:eastAsia="Times New Roman" w:hAnsi="Verdana" w:cs="Times New Roman"/>
          <w:sz w:val="18"/>
          <w:szCs w:val="18"/>
          <w:lang w:eastAsia="uk-UA"/>
        </w:rPr>
        <w:t xml:space="preserve"> сільських територій та монофункціональних міст);</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неузгодженість місцевої політики щодо соціально-економічного розвитку з реальними інтересами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надмірна централізація повноважень органів виконавчої влади та фінансово-матеріальних ресурсів;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Мета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Шляхи і способи розв’язання проблем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Проблеми передбачається розв’язати шляхом: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механізму державного контролю за відповідністю </w:t>
      </w:r>
      <w:r w:rsidRPr="00641FAF">
        <w:rPr>
          <w:rFonts w:ascii="Verdana" w:eastAsia="Times New Roman" w:hAnsi="Verdana" w:cs="Times New Roman"/>
          <w:sz w:val="18"/>
          <w:szCs w:val="18"/>
          <w:u w:val="single"/>
          <w:lang w:eastAsia="uk-UA"/>
        </w:rPr>
        <w:t>Конституції</w:t>
      </w:r>
      <w:r w:rsidRPr="00641FAF">
        <w:rPr>
          <w:rFonts w:ascii="Verdana" w:eastAsia="Times New Roman" w:hAnsi="Verdana" w:cs="Times New Roman"/>
          <w:sz w:val="18"/>
          <w:szCs w:val="18"/>
          <w:lang w:eastAsia="uk-UA"/>
        </w:rPr>
        <w:t>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максимального залучення населення до прийняття управлінських рішень,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механізму координації діяльності місцевих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Принципи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Реформування місцевого самоврядування та територіальної організації влади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верховенства права;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прозорості та громадської участі;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підзвітності та підконтрольності органів і посадових осіб місцевого самоврядування територіальній громаді;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підконтрольності органів місцевого самоврядування органам виконавчої влади у питаннях дотримання Конституції та законів України;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правової, організаційної та фінансової спроможності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державної підтримки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партнерства між державою та місцевим самоврядуванням;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сталого розвитку територій.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Завдання реформи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Забезпечення доступності та якості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Публічні послуги повинні надаватися відповідно до державних стандартів з урахуванням необхідності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територіальної доступності, що передбачає надання послуг на території громади, де проживає особа;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інформації про послуги, порядок та умови їх надання;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професійності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Крім того, необхідно забезпечити безперервну освіту посадових осіб місцевого самоврядування.</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Досягнення оптимального розподілу повноважень між органами місцевого самоврядування та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 xml:space="preserve"> та децентралізації.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базового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місцевого економічного розвитку (залучення інвестицій, розвиток підприємництва);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розвитку місцевої інфраструктури, зокрема доріг, мереж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тепло-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газо-</w:t>
      </w:r>
      <w:proofErr w:type="spellEnd"/>
      <w:r w:rsidRPr="00641FAF">
        <w:rPr>
          <w:rFonts w:ascii="Verdana" w:eastAsia="Times New Roman" w:hAnsi="Verdana" w:cs="Times New Roman"/>
          <w:sz w:val="18"/>
          <w:szCs w:val="18"/>
          <w:lang w:eastAsia="uk-UA"/>
        </w:rPr>
        <w:t>, електропостачання і водовідведення, інформаційних мереж, об’єктів соціального та культурного призначення;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планування розвитку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вирішення питань забудови території (відведення земельних ділянок, надання дозволів на будівництво, прийняття в експлуатацію будівель);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благоустрою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надання житлово-комунальних послуг (централізоване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організації пасажирських перевезень на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утримання вулиць і доріг у населених пунктах;</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громадської безпеки;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гасіння пожеж;</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управління закладами середньої, дошкільної та позашкільної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послуг швидкої медичної допомоги, первинної охорони здоров’я, з профілактики хвороб;</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соціальної допомоги через територіальні центри;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адміністративних послуг через центри надання таких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Структурні підрозділи територіальних органів центральних органів виконавчої влади на базовому рівні надаватимуть послуги з:</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санітарно-епідеміологічного захисту;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соціального захисту населення (виплата пенсій, субсидій, компенсацій, забезпечення надання пільг);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казначейського обслуговування;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реєстрації актів цивільного стану.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районного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виховання та навчання дітей у школах-інтернатах загального профілю;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медичних послуг вторинного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обласного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регіонального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охорони навколишнього природного середовища;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професійно-технічної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високоспеціалізованої медичної допомоги;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спорту, туризму.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системи залучення громадськості до розроблення управлінських рішень і контролю за їх реалізацією;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ефективний державний контроль за дотриманням органами місцевого самоврядування вимог Конституції та законів України.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Визначення обґрунтованої територіальної основи для діяльності органів місцевого самоврядування та органів виконавчої влади з метою забезпечення доступності </w:t>
      </w:r>
      <w:r w:rsidRPr="00641FAF">
        <w:rPr>
          <w:rFonts w:ascii="Verdana" w:eastAsia="Times New Roman" w:hAnsi="Verdana" w:cs="Times New Roman"/>
          <w:sz w:val="18"/>
          <w:szCs w:val="18"/>
          <w:lang w:eastAsia="uk-UA"/>
        </w:rPr>
        <w:br/>
      </w:r>
      <w:r w:rsidRPr="00641FAF">
        <w:rPr>
          <w:rFonts w:ascii="Verdana" w:eastAsia="Times New Roman" w:hAnsi="Verdana" w:cs="Times New Roman"/>
          <w:b/>
          <w:bCs/>
          <w:i/>
          <w:iCs/>
          <w:sz w:val="18"/>
          <w:szCs w:val="18"/>
          <w:bdr w:val="none" w:sz="0" w:space="0" w:color="auto" w:frame="1"/>
          <w:lang w:eastAsia="uk-UA"/>
        </w:rPr>
        <w:t>та належної якості публічних послуг, що надаються такими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адміністративно-територіальний устрій складається з трьох рівнів: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базового (адміністративно-територіальні одиниці -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районного (адміністративно-територіальні одиниці - райони);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регіонального (адміністративно-територіальні одиниці - Автономна Республіка Крим, області, мм. Київ і Севастополь);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є нерозривною;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межах адміністративно-територіальної одиниці не може бути інших адміністративно-територіальних одиниць того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базовому рівні - сільська, селищна, міська ради та їх виконавчі органи, представництва (представники) окремих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наявність ресурсів, необхідних для здійснення визначених законом повноважень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обчислення обсягу дотації вирівнювання на основі уніфікованих стандартів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трансфертів з державного бюджету безпосередньо кожному місцевому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права регулювати ставки місцевих податків і зборів;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забезпечення права територіальних громад на місцевий референдум;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позбавлення місцевих рад права висловлювати недовіру головам відповідних місцевих держадміністрацій.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Етапи реалізації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здійснюється двома етапами.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першому підготовчому етапі (2014 рік)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законодавчо врегулювати нову систему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визначити </w:t>
      </w:r>
      <w:proofErr w:type="spellStart"/>
      <w:r w:rsidRPr="00641FAF">
        <w:rPr>
          <w:rFonts w:ascii="Verdana" w:eastAsia="Times New Roman" w:hAnsi="Verdana" w:cs="Times New Roman"/>
          <w:sz w:val="18"/>
          <w:szCs w:val="18"/>
          <w:lang w:eastAsia="uk-UA"/>
        </w:rPr>
        <w:t>Мінрегіон</w:t>
      </w:r>
      <w:proofErr w:type="spellEnd"/>
      <w:r w:rsidRPr="00641FAF">
        <w:rPr>
          <w:rFonts w:ascii="Verdana" w:eastAsia="Times New Roman" w:hAnsi="Verdana" w:cs="Times New Roman"/>
          <w:sz w:val="18"/>
          <w:szCs w:val="18"/>
          <w:lang w:eastAsia="uk-UA"/>
        </w:rPr>
        <w:t xml:space="preserve">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широку інформаційно-роз’яснювальну роботу з питань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другому етапі реалізації Концепції (2015-2017 роки)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провести місцеві вибори з урахуванням реформованої системи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Очікувані результати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сприятиме:</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 підвищенню їх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соціально-економічному розвиткові територіальних громад і регіонів;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виконавчих органів обласних та районних рад;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Обсяг фінансових ресурсів</w:t>
      </w:r>
    </w:p>
    <w:p w:rsidR="00681C3F" w:rsidRPr="00641FAF" w:rsidRDefault="00641FAF" w:rsidP="00641FAF">
      <w:pPr>
        <w:spacing w:before="360" w:after="0" w:line="240" w:lineRule="auto"/>
        <w:jc w:val="both"/>
        <w:textAlignment w:val="baseline"/>
      </w:pPr>
      <w:r w:rsidRPr="00641FAF">
        <w:rPr>
          <w:rFonts w:ascii="Verdana" w:eastAsia="Times New Roman" w:hAnsi="Verdana" w:cs="Times New Roman"/>
          <w:sz w:val="18"/>
          <w:szCs w:val="18"/>
          <w:lang w:eastAsia="uk-UA"/>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sectPr w:rsidR="00681C3F" w:rsidRPr="00641FA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FAF"/>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4DE1"/>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36B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1FAF"/>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5D60"/>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0ADD"/>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641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FA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41F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659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3630</Words>
  <Characters>20697</Characters>
  <Application>Microsoft Office Word</Application>
  <DocSecurity>0</DocSecurity>
  <Lines>172</Lines>
  <Paragraphs>48</Paragraphs>
  <ScaleCrop>false</ScaleCrop>
  <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111</cp:lastModifiedBy>
  <cp:revision>2</cp:revision>
  <dcterms:created xsi:type="dcterms:W3CDTF">2014-06-10T12:33:00Z</dcterms:created>
  <dcterms:modified xsi:type="dcterms:W3CDTF">2014-06-10T12:33:00Z</dcterms:modified>
</cp:coreProperties>
</file>